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512C7FF" w:rsidR="00093CA9" w:rsidRDefault="004D19B8"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143A0D"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61FE14F" w:rsidR="00093CA9" w:rsidRPr="00143A0D" w:rsidRDefault="0034175B" w:rsidP="00AF31C7">
            <w:r w:rsidRPr="00143A0D">
              <w:rPr>
                <w:lang w:val="en-US"/>
              </w:rPr>
              <w:t xml:space="preserve">CFS EC 005 of 2024 integrated </w:t>
            </w:r>
            <w:proofErr w:type="gramStart"/>
            <w:r w:rsidRPr="00143A0D">
              <w:rPr>
                <w:lang w:val="en-US"/>
              </w:rPr>
              <w:t>in</w:t>
            </w:r>
            <w:proofErr w:type="gramEnd"/>
            <w:r w:rsidRPr="00143A0D">
              <w:rPr>
                <w:lang w:val="en-US"/>
              </w:rPr>
              <w:t xml:space="preserve"> CFS EC 006 of 2025</w:t>
            </w:r>
            <w:r w:rsidR="00143A0D" w:rsidRPr="00143A0D">
              <w:rPr>
                <w:lang w:val="en-US"/>
              </w:rPr>
              <w:t>.</w:t>
            </w:r>
            <w:r w:rsidR="00143A0D">
              <w:rPr>
                <w:lang w:val="en-US"/>
              </w:rPr>
              <w:t xml:space="preserve"> I</w:t>
            </w:r>
            <w:proofErr w:type="spellStart"/>
            <w:r w:rsidR="00143A0D" w:rsidRPr="00143A0D">
              <w:t>nstructions</w:t>
            </w:r>
            <w:proofErr w:type="spellEnd"/>
            <w:r w:rsidR="00143A0D" w:rsidRPr="00143A0D">
              <w:t xml:space="preserve"> for the integration of ESG factors into the disclosure mechanisms applicable to Mutual Investment Funds</w:t>
            </w:r>
            <w:r w:rsidR="00143A0D" w:rsidRPr="00143A0D">
              <w:rPr>
                <w:lang w:val="en-US"/>
              </w:rPr>
              <w:t xml:space="preserve"> </w:t>
            </w:r>
            <w:r w:rsidR="00143A0D" w:rsidRPr="00143A0D">
              <w:t>(</w:t>
            </w:r>
            <w:proofErr w:type="spellStart"/>
            <w:r w:rsidR="00143A0D" w:rsidRPr="00143A0D">
              <w:t>Instrucciones</w:t>
            </w:r>
            <w:proofErr w:type="spellEnd"/>
            <w:r w:rsidR="00143A0D" w:rsidRPr="00143A0D">
              <w:t xml:space="preserve"> para la </w:t>
            </w:r>
            <w:proofErr w:type="spellStart"/>
            <w:r w:rsidR="00143A0D" w:rsidRPr="00143A0D">
              <w:t>integración</w:t>
            </w:r>
            <w:proofErr w:type="spellEnd"/>
            <w:r w:rsidR="00143A0D" w:rsidRPr="00143A0D">
              <w:t xml:space="preserve"> de </w:t>
            </w:r>
            <w:proofErr w:type="spellStart"/>
            <w:r w:rsidR="00143A0D" w:rsidRPr="00143A0D">
              <w:t>factores</w:t>
            </w:r>
            <w:proofErr w:type="spellEnd"/>
            <w:r w:rsidR="00143A0D" w:rsidRPr="00143A0D">
              <w:t xml:space="preserve"> ASG </w:t>
            </w:r>
            <w:proofErr w:type="spellStart"/>
            <w:r w:rsidR="00143A0D" w:rsidRPr="00143A0D">
              <w:t>en</w:t>
            </w:r>
            <w:proofErr w:type="spellEnd"/>
            <w:r w:rsidR="00143A0D" w:rsidRPr="00143A0D">
              <w:t xml:space="preserve"> </w:t>
            </w:r>
            <w:proofErr w:type="spellStart"/>
            <w:r w:rsidR="00143A0D" w:rsidRPr="00143A0D">
              <w:t>los</w:t>
            </w:r>
            <w:proofErr w:type="spellEnd"/>
            <w:r w:rsidR="00143A0D" w:rsidRPr="00143A0D">
              <w:t xml:space="preserve"> </w:t>
            </w:r>
            <w:proofErr w:type="spellStart"/>
            <w:r w:rsidR="00143A0D" w:rsidRPr="00143A0D">
              <w:t>mecanismos</w:t>
            </w:r>
            <w:proofErr w:type="spellEnd"/>
            <w:r w:rsidR="00143A0D" w:rsidRPr="00143A0D">
              <w:t xml:space="preserve"> de </w:t>
            </w:r>
            <w:proofErr w:type="spellStart"/>
            <w:r w:rsidR="00143A0D" w:rsidRPr="00143A0D">
              <w:t>revelación</w:t>
            </w:r>
            <w:proofErr w:type="spellEnd"/>
            <w:r w:rsidR="00143A0D" w:rsidRPr="00143A0D">
              <w:t xml:space="preserve"> de </w:t>
            </w:r>
            <w:proofErr w:type="spellStart"/>
            <w:r w:rsidR="00143A0D" w:rsidRPr="00143A0D">
              <w:t>información</w:t>
            </w:r>
            <w:proofErr w:type="spellEnd"/>
            <w:r w:rsidR="00143A0D" w:rsidRPr="00143A0D">
              <w:t xml:space="preserve"> </w:t>
            </w:r>
            <w:proofErr w:type="gramStart"/>
            <w:r w:rsidR="00143A0D" w:rsidRPr="00143A0D">
              <w:t>para FIC</w:t>
            </w:r>
            <w:proofErr w:type="gramEnd"/>
            <w:r w:rsidR="00143A0D" w:rsidRPr="00143A0D">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B6D48F9" w:rsidR="00093CA9" w:rsidRDefault="006D12DE" w:rsidP="00093CA9">
            <w:hyperlink r:id="rId17" w:history="1">
              <w:r w:rsidRPr="0024663C">
                <w:rPr>
                  <w:rStyle w:val="Hyperlink"/>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30E4ADC" w:rsidR="00093CA9" w:rsidRDefault="00EB7E82"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4F2F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5C2017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AD2950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49B2A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RPr="001D2077"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49613D9" w14:textId="77777777" w:rsidR="001D2077" w:rsidRDefault="001D2077" w:rsidP="001D2077">
            <w:pPr>
              <w:jc w:val="both"/>
            </w:pPr>
            <w:r w:rsidRPr="001D2077">
              <w:t xml:space="preserve">The amendments to Chapter III, Title VI, Part III of the Legal Basic Circular </w:t>
            </w:r>
            <w:r>
              <w:t xml:space="preserve">(CBJ) </w:t>
            </w:r>
            <w:r w:rsidRPr="001D2077">
              <w:t xml:space="preserve">issued by the Financial Superintendency of Colombia </w:t>
            </w:r>
            <w:r>
              <w:t xml:space="preserve">(SFC) </w:t>
            </w:r>
            <w:r w:rsidRPr="001D2077">
              <w:t xml:space="preserve">are intended to require the integration of environmental, social, and corporate governance (ESG) factors into the disclosure mechanisms of Collective Investment Funds (FICs). </w:t>
            </w:r>
          </w:p>
          <w:p w14:paraId="18257824" w14:textId="3C846298" w:rsidR="00093CA9" w:rsidRPr="001D2077" w:rsidRDefault="001D2077" w:rsidP="001D2077">
            <w:pPr>
              <w:jc w:val="both"/>
              <w:rPr>
                <w:lang w:val="en-US"/>
              </w:rPr>
            </w:pPr>
            <w:r w:rsidRPr="001D2077">
              <w:t>This regulatory tool aims to enhance transparency, strengthen ESG risk management, and prevent greenwashing through the amendment of fund bylaws, prospectuses, and accountability reports. The instructions include the incorporation of ESG factors into the investment policy, the disclosure of materialized ESG risks and the performance of ESG investments, as well as the update of the minimum content requirements for key fund documents.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91719CA" w:rsidR="00093CA9" w:rsidRDefault="001D207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564504B7" w:rsidR="00093CA9" w:rsidRDefault="001D2077"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4836BA0" w:rsidR="00093CA9" w:rsidRDefault="001D2077" w:rsidP="00093CA9">
            <w:r w:rsidRPr="003D57E5">
              <w:t xml:space="preserve">To modernize the broader regulatory architecture, the </w:t>
            </w:r>
            <w:r w:rsidRPr="005C54D2">
              <w:t xml:space="preserve">Superintendency of Financial </w:t>
            </w:r>
            <w:r>
              <w:t>I</w:t>
            </w:r>
            <w:r w:rsidRPr="005C54D2">
              <w:t>nstitutions</w:t>
            </w:r>
            <w:r w:rsidRPr="003D57E5">
              <w:t xml:space="preserve"> has re-issued and streamlined the </w:t>
            </w:r>
            <w:r w:rsidR="00E45FAF">
              <w:t>CBJ</w:t>
            </w:r>
            <w:r w:rsidRPr="003D57E5">
              <w:t xml:space="preserve"> through Circular 006 of 2025. Effective 26 June 2025</w:t>
            </w:r>
            <w:r>
              <w:t xml:space="preserve">. </w:t>
            </w:r>
            <w:r w:rsidRPr="003D57E5">
              <w:t xml:space="preserve">The main objectives of this new Circular are to update, simplify, and clarify the regulatory framework </w:t>
            </w:r>
            <w:proofErr w:type="gramStart"/>
            <w:r w:rsidRPr="003D57E5">
              <w:t>in order to</w:t>
            </w:r>
            <w:proofErr w:type="gramEnd"/>
            <w:r w:rsidRPr="003D57E5">
              <w:t xml:space="preserve"> enhance its efficiency, coherence, and transparency, in line with national and international standards for regulatory improvement and digital transformation.</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2527BBB" w:rsidR="00093CA9" w:rsidRPr="00173D7C" w:rsidRDefault="00E45FAF"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1CE4581" w:rsidR="00093CA9" w:rsidRPr="00173D7C" w:rsidRDefault="00E45FAF"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3679150" w:rsidR="00093CA9" w:rsidRPr="00587FAE" w:rsidRDefault="00E45FAF" w:rsidP="00093CA9">
            <w:pPr>
              <w:rPr>
                <w:color w:val="000000" w:themeColor="text1"/>
              </w:rPr>
            </w:pPr>
            <w:r w:rsidRPr="00E45FAF">
              <w:rPr>
                <w:color w:val="000000" w:themeColor="text1"/>
              </w:rPr>
              <w:t xml:space="preserve">The transitional regime grants a nine-month period from the date of publication of the </w:t>
            </w:r>
            <w:r w:rsidRPr="001507AC">
              <w:t>CFS EC 00</w:t>
            </w:r>
            <w:r>
              <w:t>5</w:t>
            </w:r>
            <w:r w:rsidRPr="001507AC">
              <w:t xml:space="preserve"> of 202</w:t>
            </w:r>
            <w:r>
              <w:t>4</w:t>
            </w:r>
            <w:r w:rsidRPr="001507AC">
              <w:t xml:space="preserve"> integrated in CFS EC 0</w:t>
            </w:r>
            <w:r>
              <w:t>06</w:t>
            </w:r>
            <w:r w:rsidRPr="001507AC">
              <w:t xml:space="preserve"> of 20</w:t>
            </w:r>
            <w:r>
              <w:t xml:space="preserve">25 </w:t>
            </w:r>
            <w:r w:rsidRPr="00E45FAF">
              <w:rPr>
                <w:color w:val="000000" w:themeColor="text1"/>
              </w:rPr>
              <w:t>for the covered entities to implement and comply with the regulatory instructions. This period is intended to allow sufficient time for adaptation and alignment with the new disclosure and governance requirements established in the Circular.</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4D073C3D" w14:textId="77777777" w:rsidR="00E45FAF" w:rsidRDefault="00E45FAF" w:rsidP="00E45FAF">
            <w:pPr>
              <w:jc w:val="both"/>
            </w:pPr>
            <w:r>
              <w:t xml:space="preserve">The policy tool is authored and issued by the </w:t>
            </w:r>
            <w:r w:rsidRPr="005C54D2">
              <w:rPr>
                <w:lang w:val="en-US"/>
              </w:rPr>
              <w:t xml:space="preserve">Superintendency of </w:t>
            </w:r>
            <w:r>
              <w:rPr>
                <w:lang w:val="en-US"/>
              </w:rPr>
              <w:t>F</w:t>
            </w:r>
            <w:r w:rsidRPr="005C54D2">
              <w:rPr>
                <w:lang w:val="en-US"/>
              </w:rPr>
              <w:t>inancial institutions</w:t>
            </w:r>
            <w:r w:rsidRPr="005C54D2">
              <w:t xml:space="preserve"> </w:t>
            </w:r>
            <w:r>
              <w:t>(</w:t>
            </w:r>
            <w:proofErr w:type="spellStart"/>
            <w:r w:rsidRPr="005C54D2">
              <w:rPr>
                <w:i/>
                <w:iCs/>
              </w:rPr>
              <w:t>Superintendencia</w:t>
            </w:r>
            <w:proofErr w:type="spellEnd"/>
            <w:r w:rsidRPr="005C54D2">
              <w:rPr>
                <w:i/>
                <w:iCs/>
              </w:rPr>
              <w:t xml:space="preserve"> Financiera de Colombia</w:t>
            </w:r>
            <w:r>
              <w:t>), which is a technical government agency attached to the Ministry of Finance and Public Credit. The SFC possesses legal personality, as well as administrative and financial autonomy, and its own assets.</w:t>
            </w:r>
          </w:p>
          <w:p w14:paraId="7961F236" w14:textId="299ED6F7" w:rsidR="00093CA9" w:rsidRDefault="00E45FAF" w:rsidP="00E45FAF">
            <w:pPr>
              <w:jc w:val="both"/>
            </w:pPr>
            <w:r>
              <w:t>The SFC acts as the primary supervisory authority for Colombia’s financial system. Its mandate, as established by law, is to exercise inspection, surveillance, and control over individuals and entities engaged in financial, securities, and insurance activities, as well as any other activities involving the management, use, or investment of resources collected from the public. The President of the Republic, in accordance with the law, carries out these supervisory functions through the SFC.</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1E6CCAE" w:rsidR="00093CA9" w:rsidRPr="006B7B0D" w:rsidRDefault="00E45FAF" w:rsidP="00093CA9">
            <w:r w:rsidRPr="005E4C3B">
              <w:t>Superintendency of Financial institutions</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lastRenderedPageBreak/>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B24D120" w:rsidR="00093CA9" w:rsidRPr="006B7B0D" w:rsidRDefault="00E45FA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E77A652" w:rsidR="00093CA9" w:rsidRDefault="00E45FA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14B34484" w14:textId="77777777" w:rsidR="00E45FAF" w:rsidRDefault="00E45FAF" w:rsidP="00E45FAF">
            <w:pPr>
              <w:keepNext/>
              <w:jc w:val="both"/>
              <w:rPr>
                <w:color w:val="000000" w:themeColor="text1"/>
              </w:rPr>
            </w:pPr>
            <w:r w:rsidRPr="00E45FAF">
              <w:rPr>
                <w:color w:val="000000" w:themeColor="text1"/>
              </w:rPr>
              <w:t>In the context of ESG and climate-related matters, the Colombian regulatory framework applicable to Collective Investment Funds (FICs) establishes comprehensive oversight mechanisms to ensure the effective implementation and enforcement of ESG policies. Pursuant to numerals 2.2 (</w:t>
            </w:r>
            <w:proofErr w:type="spellStart"/>
            <w:r w:rsidRPr="00E45FAF">
              <w:rPr>
                <w:color w:val="000000" w:themeColor="text1"/>
              </w:rPr>
              <w:t>i</w:t>
            </w:r>
            <w:proofErr w:type="spellEnd"/>
            <w:r w:rsidRPr="00E45FAF">
              <w:rPr>
                <w:color w:val="000000" w:themeColor="text1"/>
              </w:rPr>
              <w:t xml:space="preserve">) and (ii) of Part III, Title VI, Chapter III, FIC management companies are required to disclose their ESG risk management policies and procedures, including processes for identifying, assessing, monitoring, and mitigating such risks. In addition, numeral 3.2 mandates the monthly publication of a technical factsheet on the management company's website, which must be regularly updated and made publicly accessible to ensure transparency. </w:t>
            </w:r>
          </w:p>
          <w:p w14:paraId="2C2128DB" w14:textId="3C58296F" w:rsidR="00093CA9" w:rsidRPr="008017F9" w:rsidRDefault="00E45FAF" w:rsidP="00E45FAF">
            <w:pPr>
              <w:keepNext/>
              <w:jc w:val="both"/>
              <w:rPr>
                <w:color w:val="000000" w:themeColor="text1"/>
              </w:rPr>
            </w:pPr>
            <w:r w:rsidRPr="00E45FAF">
              <w:rPr>
                <w:color w:val="000000" w:themeColor="text1"/>
              </w:rPr>
              <w:t>Numeral 3.3 further requires the daily disclosure of key fund information, including performance metrics, through a dedicated section of the website. Lastly, numerals 4.8 and 4.9 require periodic management and accountability reports to include detailed descriptions of materialized ESG risks and the performance of ESG investments. These measures collectively promote continuous monitoring, public disclosure, and accountability with respect to the ESG and climate-related goals and outcomes of FICs.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3936D0A2" w:rsidR="00CF5268" w:rsidRDefault="00FE47FF"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06EEBABC" w:rsidR="00CF5268" w:rsidRDefault="00FE47FF"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271221F" w:rsidR="00CF5268" w:rsidRDefault="00FE47FF"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0F7E76A5" w:rsidR="00CF5268" w:rsidRDefault="00FE47FF"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019A6233" w:rsidR="00CF5268" w:rsidRDefault="00FE47FF"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1AB5F23B" w:rsidR="466E435B" w:rsidRDefault="00FE47FF"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11A81A6" w:rsidR="00CF5268" w:rsidRDefault="00FE47FF"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0EC95D6" w:rsidR="466E435B" w:rsidRDefault="00FE47FF"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0F3CEA58" w:rsidR="466E435B" w:rsidRDefault="00FE47FF"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EF6DCE8" w:rsidR="466E435B" w:rsidRDefault="00FE47FF"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4D7FF1FE" w:rsidR="466E435B" w:rsidRDefault="00FE47FF"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4F857254" w:rsidR="00CF5268" w:rsidRDefault="00FE47FF"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4D66A933" w:rsidR="00CF5268" w:rsidRDefault="00CB7015"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6B62F566" w:rsidR="004B2D74" w:rsidRDefault="00FE47FF"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4E6D349A" w:rsidR="004B2D74" w:rsidRDefault="00FE47FF"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4E87DD2C" w:rsidR="004B2D74" w:rsidRDefault="00FE47FF"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40738DF7" w:rsidR="004B2D74" w:rsidRDefault="00FE47FF"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4D3CCA09" w:rsidR="004B2D74" w:rsidRDefault="00FE47FF"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699937B2" w:rsidR="004B2D74" w:rsidRDefault="00EA4623" w:rsidP="00DD3144">
            <w:r>
              <w:t>X</w:t>
            </w:r>
          </w:p>
        </w:tc>
        <w:tc>
          <w:tcPr>
            <w:tcW w:w="1447" w:type="dxa"/>
            <w:vAlign w:val="center"/>
          </w:tcPr>
          <w:p w14:paraId="494B9DBF" w14:textId="44B3FB59"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rsidRPr="00EA4623"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171C0517" w:rsidR="00C35794" w:rsidRPr="00EA4623" w:rsidRDefault="00EA4623" w:rsidP="00EA4623">
            <w:pPr>
              <w:rPr>
                <w:lang w:val="en-US"/>
              </w:rPr>
            </w:pPr>
            <w:r w:rsidRPr="00EA4623">
              <w:rPr>
                <w:lang w:val="en-US"/>
              </w:rPr>
              <w:t>Pursuant to section 2.2 of Chapter III, Title VI, Part III, “Exchange-traded funds (ETFs) are exempt from complying with the instructions set forth in items (</w:t>
            </w:r>
            <w:proofErr w:type="spellStart"/>
            <w:r w:rsidRPr="00EA4623">
              <w:rPr>
                <w:lang w:val="en-US"/>
              </w:rPr>
              <w:t>i</w:t>
            </w:r>
            <w:proofErr w:type="spellEnd"/>
            <w:r w:rsidRPr="00EA4623">
              <w:rPr>
                <w:lang w:val="en-US"/>
              </w:rPr>
              <w:t>) and (ii) above, without prejudice to their voluntary compliance with such instructions when the index they replicate incorporates any ESG aspect.” Accordingly, ETFs may voluntarily comply with the ESG-related disclosure requirements.</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7675DC2C" w:rsidR="00B536E6" w:rsidRDefault="00CB7015"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228C6B3D" w:rsidR="00B536E6" w:rsidRDefault="00CB7015"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FFAC252" w:rsidR="00B536E6" w:rsidRDefault="00CB7015"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51FDC8B6" w:rsidR="00B536E6" w:rsidRDefault="00CB7015"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009D0F3" w:rsidR="00B536E6" w:rsidRDefault="00CB7015"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3A1C428" w:rsidR="00B536E6" w:rsidRDefault="00CB7015"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4FEF101E" w:rsidR="00B536E6" w:rsidRDefault="00CB7015"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lastRenderedPageBreak/>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214A23B8" w:rsidR="00B536E6" w:rsidRDefault="00CB7015"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344914FF" w:rsidR="00B536E6" w:rsidRDefault="00CB7015"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72B75B97" w:rsidR="00B536E6" w:rsidRDefault="00CB7015"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7F41B1B4" w:rsidR="00B536E6" w:rsidRDefault="00CB7015"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164B3E5B" w:rsidR="00B536E6" w:rsidRDefault="00CB7015"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5FA3D531" w:rsidR="00B536E6" w:rsidRDefault="00CB7015"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2B36921E" w:rsidR="00B536E6" w:rsidRDefault="00CB7015"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67905027" w:rsidR="00B536E6" w:rsidRDefault="00CB7015"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265FDE68" w:rsidR="00B536E6" w:rsidRDefault="00CB7015"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46E40762" w:rsidR="00B536E6" w:rsidRDefault="00CB7015"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34FC1F02" w:rsidR="00B536E6" w:rsidRDefault="00CB7015"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473E527D" w:rsidR="00B536E6" w:rsidRDefault="00CB7015"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3CEF592E" w:rsidR="00B536E6" w:rsidRDefault="00CB7015"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453D1666" w:rsidR="00B536E6" w:rsidRDefault="00CB7015"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539114FB" w:rsidR="00B536E6" w:rsidRDefault="00CB7015"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5C58DE27" w:rsidR="0039223F" w:rsidRDefault="00EA4623" w:rsidP="00DD3144">
            <w:r w:rsidRPr="00871095">
              <w:rPr>
                <w:lang w:val="en-US"/>
              </w:rPr>
              <w:t>Although the entities to which CFS EC 00</w:t>
            </w:r>
            <w:r>
              <w:rPr>
                <w:lang w:val="en-US"/>
              </w:rPr>
              <w:t>5</w:t>
            </w:r>
            <w:r w:rsidRPr="00871095">
              <w:rPr>
                <w:lang w:val="en-US"/>
              </w:rPr>
              <w:t xml:space="preserve"> of 202</w:t>
            </w:r>
            <w:r>
              <w:rPr>
                <w:lang w:val="en-US"/>
              </w:rPr>
              <w:t>4</w:t>
            </w:r>
            <w:r w:rsidRPr="00871095">
              <w:rPr>
                <w:lang w:val="en-US"/>
              </w:rPr>
              <w:t xml:space="preserve">, as integrated into CFS EC 006 of 2025, </w:t>
            </w:r>
            <w:proofErr w:type="gramStart"/>
            <w:r w:rsidRPr="00871095">
              <w:rPr>
                <w:lang w:val="en-US"/>
              </w:rPr>
              <w:t>is</w:t>
            </w:r>
            <w:proofErr w:type="gramEnd"/>
            <w:r w:rsidRPr="00871095">
              <w:rPr>
                <w:lang w:val="en-US"/>
              </w:rPr>
              <w:t xml:space="preserve"> addressed belong to the "financial and insurance activities" sector, the regulation was not issued based on the sector in which certain entities carry out their corporate purpose. On the contrary, the regulation was specifically issued to target</w:t>
            </w:r>
            <w:r>
              <w:rPr>
                <w:lang w:val="en-US"/>
              </w:rPr>
              <w:t xml:space="preserve"> Collective Investment Funds. </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334631DC" w:rsidR="00524D54" w:rsidRPr="00CB7015" w:rsidRDefault="00CB7015" w:rsidP="00DD3144">
            <w:pPr>
              <w:rPr>
                <w:lang w:val="en-US"/>
              </w:rPr>
            </w:pPr>
            <w:r w:rsidRPr="00CB7015">
              <w:rPr>
                <w:lang w:val="en-US"/>
              </w:rPr>
              <w:t>Collective Investment Funds subject to the inspection and supervision of the SFC</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6BA9C126" w:rsidR="00576ED8" w:rsidRDefault="00F414F8"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4BF4067D"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RPr="00F414F8"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6A63C38A" w:rsidR="009F5822" w:rsidRPr="00AD2BAF" w:rsidRDefault="009F5822" w:rsidP="00F414F8">
            <w:pPr>
              <w:rPr>
                <w:lang w:val="en-US"/>
              </w:rPr>
            </w:pP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10518557" w:rsidR="00911F20" w:rsidRDefault="00F414F8"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227505EB" w:rsidR="00911F20" w:rsidRDefault="00F414F8"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E70BB65" w:rsidR="00911F20" w:rsidRDefault="00F414F8"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lastRenderedPageBreak/>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4D338D9F" w:rsidR="009C4798" w:rsidRDefault="00F414F8" w:rsidP="00DD3144">
            <w:r w:rsidRPr="0024663C">
              <w:rPr>
                <w:lang w:val="en-US"/>
              </w:rPr>
              <w:t xml:space="preserve">Although the regulatory provisions do not specifically address the consequences of non-compliance, reference must be made to Article </w:t>
            </w:r>
            <w:r>
              <w:rPr>
                <w:lang w:val="en-US"/>
              </w:rPr>
              <w:t>53</w:t>
            </w:r>
            <w:r w:rsidRPr="0024663C">
              <w:rPr>
                <w:lang w:val="en-US"/>
              </w:rPr>
              <w:t xml:space="preserve"> of </w:t>
            </w:r>
            <w:r>
              <w:rPr>
                <w:lang w:val="en-US"/>
              </w:rPr>
              <w:t>Law 964 de 2005</w:t>
            </w:r>
            <w:r w:rsidRPr="0024663C">
              <w:rPr>
                <w:lang w:val="en-US"/>
              </w:rPr>
              <w:t xml:space="preserve">, which sets forth the following sanctions: </w:t>
            </w:r>
            <w:r w:rsidRPr="0023706B">
              <w:rPr>
                <w:lang w:val="en-US"/>
              </w:rPr>
              <w:t>warnings, monetary fines, temporary suspension or disqualification from management or control functions, removal from such positions, suspension or cancellation of registration in relevant securities market registries, and penalties for breaches of capital adequacy and foreign currency exposure limits. Sanctions may be imposed concurrently, provided their nature allows for such accumulation</w:t>
            </w:r>
            <w:r w:rsidRPr="0024663C">
              <w:rPr>
                <w:lang w:val="en-US"/>
              </w:rPr>
              <w: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E72D688" w:rsidR="00C57511" w:rsidRPr="00FA0CF8" w:rsidRDefault="00F414F8"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1AD2A222" w:rsidR="00654950" w:rsidRDefault="00F414F8" w:rsidP="00DD3144">
            <w:pPr>
              <w:spacing w:line="276" w:lineRule="auto"/>
              <w:rPr>
                <w:color w:val="000000" w:themeColor="text1"/>
              </w:rPr>
            </w:pPr>
            <w:r w:rsidRPr="00444A6C">
              <w:rPr>
                <w:color w:val="000000" w:themeColor="text1"/>
              </w:rPr>
              <w:t xml:space="preserve">The implementation by the entities to which the regulation is addressed may be evidenced through the investment policies of the </w:t>
            </w:r>
            <w:r w:rsidR="00E4713B">
              <w:rPr>
                <w:color w:val="000000" w:themeColor="text1"/>
              </w:rPr>
              <w:t>ETFs</w:t>
            </w:r>
            <w:r w:rsidRPr="00444A6C">
              <w:rPr>
                <w:color w:val="000000" w:themeColor="text1"/>
              </w:rPr>
              <w:t xml:space="preserve"> which are typically published and made available to the public</w:t>
            </w:r>
            <w:r w:rsidR="00E4713B">
              <w:rPr>
                <w:color w:val="000000" w:themeColor="text1"/>
              </w:rPr>
              <w:t xml:space="preserve"> (</w:t>
            </w:r>
            <w:r w:rsidR="00E4713B" w:rsidRPr="00E4713B">
              <w:rPr>
                <w:color w:val="000000" w:themeColor="text1"/>
              </w:rPr>
              <w:t>Pursuant to section 2.2 of Chapter III, Title VI, Part III</w:t>
            </w:r>
            <w:r w:rsidR="00E4713B">
              <w:rPr>
                <w:color w:val="000000" w:themeColor="text1"/>
              </w:rPr>
              <w:t>)</w:t>
            </w:r>
            <w:r w:rsidRPr="000E6079">
              <w:rPr>
                <w:color w:val="000000" w:themeColor="text1"/>
                <w:lang w:val="en-US"/>
              </w:rPr>
              <w:t>.</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DA2AC20" w:rsidR="00CB1649" w:rsidRPr="00FA0CF8" w:rsidRDefault="00E4713B"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26F38C2E"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A86AB18" w:rsidR="008063B5" w:rsidRDefault="00E4713B"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68559095"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1FE78EFD" w:rsidR="00042406" w:rsidRDefault="00D14537"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165528F" w:rsidR="00042406" w:rsidRDefault="00D14537"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1CF8D6" w:rsidR="00042406" w:rsidRDefault="00D14537"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2D830F1F" w:rsidR="00042406" w:rsidRDefault="00D14537"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17E7E8F6" w:rsidR="00042406" w:rsidRDefault="00D14537"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36E0F0E5" w:rsidR="00042406" w:rsidRDefault="00D14537"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6E865EA0" w:rsidR="00042406" w:rsidRDefault="00D14537"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lastRenderedPageBreak/>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lastRenderedPageBreak/>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lastRenderedPageBreak/>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35989619" w:rsidR="00B0479E" w:rsidRDefault="00CB7015"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lastRenderedPageBreak/>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1DF652BD" w:rsidR="00EC42A1" w:rsidRDefault="00CB7015"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39C2FB20" w:rsidR="00EC42A1" w:rsidRDefault="00CB7015"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828BD64" w:rsidR="00EC42A1" w:rsidRDefault="00CB7015"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lastRenderedPageBreak/>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0DD0D2FD" w:rsidR="00484663" w:rsidRDefault="00CB7015"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1F3ADB7A" w:rsidR="00484663" w:rsidRDefault="00CB7015"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30028733" w:rsidR="00484663" w:rsidRDefault="00CB7015"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lastRenderedPageBreak/>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lastRenderedPageBreak/>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454C484B" w:rsidR="00484663" w:rsidRDefault="002D3FB4" w:rsidP="00DD3144">
            <w:r>
              <w:t xml:space="preserve"> </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C5EAD34" w:rsidR="00DA416F" w:rsidRPr="00DD3144" w:rsidRDefault="002D3FB4"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17276767" w:rsidR="00DA416F" w:rsidRPr="00DD3144" w:rsidRDefault="002D3FB4"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5DB6A725" w:rsidR="00DA416F" w:rsidRPr="00DD3144" w:rsidRDefault="002D3FB4"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3371048" w:rsidR="00DA416F" w:rsidRPr="00DD3144" w:rsidRDefault="002D3FB4"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2786BD4" w:rsidR="00DA416F" w:rsidRPr="00DD3144" w:rsidRDefault="002D3FB4"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0CD7D68" w:rsidR="00DA416F" w:rsidRPr="00DD3144" w:rsidRDefault="002D3FB4"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650CD01" w:rsidR="00DA416F" w:rsidRPr="00DD3144" w:rsidRDefault="002D3FB4"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4D5917B" w:rsidR="00DA416F" w:rsidRPr="00DD3144" w:rsidRDefault="002D3FB4"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603AE7BC" w:rsidR="00DA416F" w:rsidRPr="00DD3144" w:rsidRDefault="002D3FB4"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ED8FF26" w:rsidR="00DA416F" w:rsidRPr="00DD3144" w:rsidRDefault="002D3FB4"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5C12533" w:rsidR="00DA416F" w:rsidRPr="00DD3144" w:rsidRDefault="002D3FB4"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DBD11E9" w:rsidR="00DA416F" w:rsidRPr="00DD3144" w:rsidRDefault="002D3FB4"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964DF34" w:rsidR="00DA416F" w:rsidRPr="00DD3144" w:rsidRDefault="002D3FB4"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404FFD76" w:rsidR="00DA416F" w:rsidRPr="00DD3144" w:rsidRDefault="002D3FB4"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930C108" w:rsidR="004B1F6B" w:rsidRPr="00DD3144" w:rsidRDefault="002D3FB4" w:rsidP="00DD3144">
            <w:pPr>
              <w:rPr>
                <w:rFonts w:ascii="Calibri" w:hAnsi="Calibri" w:cs="Calibri"/>
              </w:rPr>
            </w:pPr>
            <w:r w:rsidRPr="002D3FB4">
              <w:rPr>
                <w:rFonts w:ascii="Calibri" w:hAnsi="Calibri" w:cs="Calibri"/>
              </w:rPr>
              <w:t xml:space="preserve">FIC management companies must disclose ESG objectives and related strategies only when: (a) the fund’s name includes ESG-related terms (e.g., sustainable, responsible, green); (b) the fund’s investments aim to generate a positive ESG impact; or (c) ESG factors are used in marketing the product. In such cases, the management company must specify the taxonomy, classification system, or reference framework used to define eligible investments—such as the Colombian Green Taxonomy </w:t>
            </w:r>
            <w:r w:rsidR="00AD2BAF">
              <w:rPr>
                <w:rFonts w:ascii="Calibri" w:hAnsi="Calibri" w:cs="Calibri"/>
              </w:rPr>
              <w:t>(</w:t>
            </w:r>
            <w:r w:rsidR="00AD2BAF">
              <w:rPr>
                <w:lang w:val="en-US"/>
              </w:rPr>
              <w:t xml:space="preserve">available at the following </w:t>
            </w:r>
            <w:hyperlink r:id="rId18" w:history="1">
              <w:r w:rsidR="00AD2BAF" w:rsidRPr="00124797">
                <w:rPr>
                  <w:rStyle w:val="Hyperlink"/>
                  <w:lang w:val="en-US"/>
                </w:rPr>
                <w:t>Web-archived link</w:t>
              </w:r>
            </w:hyperlink>
            <w:r w:rsidR="00AD2BAF">
              <w:rPr>
                <w:lang w:val="en-US"/>
              </w:rPr>
              <w:t xml:space="preserve">) </w:t>
            </w:r>
            <w:r w:rsidRPr="002D3FB4">
              <w:rPr>
                <w:rFonts w:ascii="Calibri" w:hAnsi="Calibri" w:cs="Calibri"/>
              </w:rPr>
              <w:t>or the Sustainable Development Goals (</w:t>
            </w:r>
            <w:r w:rsidR="00AD2BAF">
              <w:rPr>
                <w:rFonts w:ascii="Calibri" w:hAnsi="Calibri" w:cs="Calibri"/>
              </w:rPr>
              <w:t xml:space="preserve">available at the following </w:t>
            </w:r>
            <w:hyperlink r:id="rId19" w:history="1">
              <w:r w:rsidR="00AD2BAF" w:rsidRPr="00524EDC">
                <w:rPr>
                  <w:rStyle w:val="Hyperlink"/>
                  <w:rFonts w:ascii="Calibri" w:hAnsi="Calibri" w:cs="Calibri"/>
                </w:rPr>
                <w:t>Web-archived link</w:t>
              </w:r>
            </w:hyperlink>
            <w:r w:rsidRPr="002D3FB4">
              <w:rPr>
                <w:rFonts w:ascii="Calibri" w:hAnsi="Calibri" w:cs="Calibri"/>
              </w:rPr>
              <w:t>)—and describe the methods used to evaluate, measure, and monitor the ESG objectives pursued by the fund</w:t>
            </w:r>
            <w:r w:rsidR="00AD2BAF">
              <w:rPr>
                <w:rFonts w:ascii="Calibri" w:hAnsi="Calibri" w:cs="Calibri"/>
              </w:rPr>
              <w:t>,</w:t>
            </w:r>
            <w:r w:rsidRPr="002D3FB4">
              <w:rPr>
                <w:rFonts w:ascii="Calibri" w:hAnsi="Calibri" w:cs="Calibri"/>
              </w:rP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307D21" w14:textId="77777777" w:rsidR="00F30FEB" w:rsidRDefault="00F30FEB" w:rsidP="00874E39">
      <w:r>
        <w:separator/>
      </w:r>
    </w:p>
  </w:endnote>
  <w:endnote w:type="continuationSeparator" w:id="0">
    <w:p w14:paraId="582CA836" w14:textId="77777777" w:rsidR="00F30FEB" w:rsidRDefault="00F30FEB" w:rsidP="00874E39">
      <w:r>
        <w:continuationSeparator/>
      </w:r>
    </w:p>
  </w:endnote>
  <w:endnote w:type="continuationNotice" w:id="1">
    <w:p w14:paraId="1AE514AB" w14:textId="77777777" w:rsidR="00F30FEB" w:rsidRDefault="00F30F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CD0D21" w14:textId="77777777" w:rsidR="00F30FEB" w:rsidRDefault="00F30FEB" w:rsidP="00874E39">
      <w:r>
        <w:separator/>
      </w:r>
    </w:p>
  </w:footnote>
  <w:footnote w:type="continuationSeparator" w:id="0">
    <w:p w14:paraId="2ACA9A6A" w14:textId="77777777" w:rsidR="00F30FEB" w:rsidRDefault="00F30FEB" w:rsidP="00874E39">
      <w:r>
        <w:continuationSeparator/>
      </w:r>
    </w:p>
  </w:footnote>
  <w:footnote w:type="continuationNotice" w:id="1">
    <w:p w14:paraId="498B1146" w14:textId="77777777" w:rsidR="00F30FEB" w:rsidRDefault="00F30FE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3C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3A0D"/>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2077"/>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3FB4"/>
    <w:rsid w:val="002D4BBB"/>
    <w:rsid w:val="002D5FEA"/>
    <w:rsid w:val="002D612E"/>
    <w:rsid w:val="002D64FD"/>
    <w:rsid w:val="002D6C18"/>
    <w:rsid w:val="002D7255"/>
    <w:rsid w:val="002D7618"/>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E02"/>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175B"/>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9B8"/>
    <w:rsid w:val="004D2730"/>
    <w:rsid w:val="004D3416"/>
    <w:rsid w:val="004D5810"/>
    <w:rsid w:val="004D6484"/>
    <w:rsid w:val="004D7C53"/>
    <w:rsid w:val="004E1E4E"/>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4EDC"/>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2EBA"/>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8E3"/>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13C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2DE"/>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522"/>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52C"/>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197"/>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3F9B"/>
    <w:rsid w:val="00A9656E"/>
    <w:rsid w:val="00AA186B"/>
    <w:rsid w:val="00AA38F6"/>
    <w:rsid w:val="00AA4965"/>
    <w:rsid w:val="00AA6DDB"/>
    <w:rsid w:val="00AB0830"/>
    <w:rsid w:val="00AB2CCC"/>
    <w:rsid w:val="00AB4F2C"/>
    <w:rsid w:val="00AB5840"/>
    <w:rsid w:val="00AB64F8"/>
    <w:rsid w:val="00AC6ECF"/>
    <w:rsid w:val="00AC7B6B"/>
    <w:rsid w:val="00AD1216"/>
    <w:rsid w:val="00AD1BC7"/>
    <w:rsid w:val="00AD2BAF"/>
    <w:rsid w:val="00AD4477"/>
    <w:rsid w:val="00AD4F51"/>
    <w:rsid w:val="00AD5285"/>
    <w:rsid w:val="00AD54D3"/>
    <w:rsid w:val="00AD70E0"/>
    <w:rsid w:val="00AE0028"/>
    <w:rsid w:val="00AE00FE"/>
    <w:rsid w:val="00AE0451"/>
    <w:rsid w:val="00AE0803"/>
    <w:rsid w:val="00AE0ADB"/>
    <w:rsid w:val="00AE2662"/>
    <w:rsid w:val="00AE2924"/>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6E0"/>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015"/>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537"/>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9EA"/>
    <w:rsid w:val="00DF7DE6"/>
    <w:rsid w:val="00E020A8"/>
    <w:rsid w:val="00E02101"/>
    <w:rsid w:val="00E03122"/>
    <w:rsid w:val="00E03A10"/>
    <w:rsid w:val="00E03F7B"/>
    <w:rsid w:val="00E04C04"/>
    <w:rsid w:val="00E054E4"/>
    <w:rsid w:val="00E0794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5FAF"/>
    <w:rsid w:val="00E4713B"/>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623"/>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0FEB"/>
    <w:rsid w:val="00F31354"/>
    <w:rsid w:val="00F33485"/>
    <w:rsid w:val="00F3642C"/>
    <w:rsid w:val="00F3654A"/>
    <w:rsid w:val="00F36C5B"/>
    <w:rsid w:val="00F408F6"/>
    <w:rsid w:val="00F40E78"/>
    <w:rsid w:val="00F414F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7FF"/>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4129472">
      <w:bodyDiv w:val="1"/>
      <w:marLeft w:val="0"/>
      <w:marRight w:val="0"/>
      <w:marTop w:val="0"/>
      <w:marBottom w:val="0"/>
      <w:divBdr>
        <w:top w:val="none" w:sz="0" w:space="0" w:color="auto"/>
        <w:left w:val="none" w:sz="0" w:space="0" w:color="auto"/>
        <w:bottom w:val="none" w:sz="0" w:space="0" w:color="auto"/>
        <w:right w:val="none" w:sz="0" w:space="0" w:color="auto"/>
      </w:divBdr>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182932565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41258/https:/www.taxonomiaverde.gov.co/documents/316219/336660/Taxonom%C3%ADa+Verde+de+Colombia.pdf/f25c7843-9a15-17da-90f9-5d63763b85b6?t=1649352720000"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201955/https:/www.superfinanciera.gov.co/publicaciones/10115528/circular-basica-juridica-ce-0062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08141608/https:/www.un.org/sustainabledevelopment/es/sustainable-development-goal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9D0DB8-3634-4672-BC66-8D097E1A6C11}"/>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113</Pages>
  <Words>23469</Words>
  <Characters>129083</Characters>
  <Application>Microsoft Office Word</Application>
  <DocSecurity>0</DocSecurity>
  <Lines>1075</Lines>
  <Paragraphs>304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2</cp:revision>
  <cp:lastPrinted>2025-03-21T00:14:00Z</cp:lastPrinted>
  <dcterms:created xsi:type="dcterms:W3CDTF">2025-07-10T14:59:00Z</dcterms:created>
  <dcterms:modified xsi:type="dcterms:W3CDTF">2025-07-10T14:59:00Z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